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(Арендодатель) –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учреждение «Комитет по управлению муниципальным имуществом земельным отношениям муниципального образования «Ульяновский район»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адрес: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Ульяновская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9,7, телефон 8 (84254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01, 2-00-16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местного самоуправления, принявший решение о проведении аукциона (уполномоченный орган)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учреждение «Комитет по управлению муниципальным имуществом земельным отношениям муниципального образования «Ульяновский район»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реквизиты указанного решения: постановление 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образования «Ульяновский район»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 </w:t>
      </w:r>
      <w:r w:rsidR="00F3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F3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333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проведении аукциона с ограниченным числом участников –</w:t>
      </w:r>
      <w:r w:rsidR="004D4D85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среди субъектов малого и среднего предпринимательства на право заклю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чения договоров аренды земельного участка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Место, дата, время проведения аукциона: адрес: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район,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кабинет №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дата проведения аукциона – 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B00B87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г., в 14.00 часов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аукциона: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аукцион проводится в назначенную дату и время;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оглашения аукционистом начальной цены участникам аукциона предлагается заявить эту цену путем поднятия карточек;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заявляется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заявляется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арендной платы в год.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завершен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аукционист объявляет о продаже земельного участка,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цена земельного участка, предложенная победителем аукциона, заносится в протокол об итогах аукциона, составляемый в 2 экземплярах.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аренды земельного участка;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задаток возвращается участникам аукциона, за исключением его победителя, в течение 3 дней со дня подведения итогов аукциона;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победителях аукционов, уклонившихся от заключения договора аренды земельного участка, являющегося предметом аукциона, с которыми указанный договор заключается в соответствии с пунктом 20 статьи 39.12 Земельного кодекса, и которые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уклонились от их заключения, включаются в реестр недобросовестных участников аукциона;</w:t>
      </w:r>
      <w:proofErr w:type="gramEnd"/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ведение реестра недобросовестных участников аукциона осуществляется уполномоченным 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Правительством Российской Федерации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федеральным органом исполнительной власти.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проводится 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B00B87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с 13.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арендной платы в год за земельный участок.</w:t>
      </w:r>
    </w:p>
    <w:p w:rsidR="00941781" w:rsidRPr="00B67376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аукциона.</w:t>
      </w:r>
    </w:p>
    <w:p w:rsidR="00941781" w:rsidRPr="00B00B87" w:rsidRDefault="00941781" w:rsidP="00B67376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 1 - земельный участок с кадастровым номером 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000000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площадью 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расположенный по адресу: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Ульяновская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9B50F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 район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легкая промышленность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Категория земель: земли </w:t>
      </w:r>
      <w:r w:rsidR="0086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населенных пунктов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аренды земельного участка: 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лет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правах: земельный участок из состава земель, государственная собственность на которые не разграничена, права третьих лиц отсутствуют.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Ограничения прав на земельный участок: </w:t>
      </w:r>
      <w:r w:rsidR="00E71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отсутствуют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ежегодная арендная плата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81369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(восемьдесят одна тысяча триста шестьдесят девять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</w:t>
      </w:r>
      <w:r w:rsidR="00E74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00 копеек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«Шаг аукциона»:</w:t>
      </w:r>
      <w:r w:rsidR="001F762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3% от начальной цены предмета аукциона –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2441,07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тысяча четыреста сорок один) рубль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копеек; сумма задатка: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81369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восемьдесят одна тысяча триста шестьдесят девять) рублей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копеек.</w:t>
      </w:r>
    </w:p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Приказа Министерства строительства и архитектуры Ульяновской области от 27.04.2021 № 120-пр «О внесении изменения в Правила землепользования и застройки муниципального образования «</w:t>
      </w:r>
      <w:proofErr w:type="spellStart"/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Ишеевское</w:t>
      </w:r>
      <w:proofErr w:type="spellEnd"/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поселение» Ульяновского района Ульяновской области»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земельный участок расположен в территориальной зоне «</w:t>
      </w:r>
      <w:proofErr w:type="gramStart"/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1» - </w:t>
      </w:r>
      <w:r w:rsidR="0009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«Производственная зона»</w:t>
      </w:r>
      <w:r w:rsidR="00090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102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276"/>
        <w:gridCol w:w="291"/>
      </w:tblGrid>
      <w:tr w:rsidR="008C3B99" w:rsidRPr="00B00B87" w:rsidTr="008C3B99">
        <w:trPr>
          <w:tblCellSpacing w:w="15" w:type="dxa"/>
        </w:trPr>
        <w:tc>
          <w:tcPr>
            <w:tcW w:w="9603" w:type="dxa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8C3B99" w:rsidP="0009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осуществить в соответствии с градостроительным планом земельного участка (Лот №1 – 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0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95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</w:t>
            </w:r>
            <w:r w:rsidRPr="00B0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и согласно зоне размещения земельного участка.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941781" w:rsidP="0094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1781" w:rsidRPr="00B00B87" w:rsidRDefault="00941781" w:rsidP="0094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1781" w:rsidRPr="00B00B87" w:rsidRDefault="00941781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а также о плате за подключение (технологическое присоединение):</w:t>
      </w:r>
    </w:p>
    <w:p w:rsidR="00872495" w:rsidRPr="00B00B87" w:rsidRDefault="000903E9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ОГКП</w:t>
      </w:r>
      <w:r w:rsidR="00872495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Ульяновский областной водоканал</w:t>
      </w:r>
      <w:r w:rsidR="00872495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072EA1" w:rsidRDefault="000952C6" w:rsidP="0087249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подключения к сетям водоснабжения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водоотведения имеется вдоль </w:t>
      </w:r>
      <w:r w:rsidR="00874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Ишеевка.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постановлением Правительства РФ от 29.07.2013г. №644 срок подключения объекта капитального строительства составляет не более 18 месяцев от даты заключения договора о подключении (технологическом присоединении)</w:t>
      </w:r>
      <w:r w:rsidR="00072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иные сроки не предусмотрены условиями договора о подключении.</w:t>
      </w:r>
    </w:p>
    <w:p w:rsidR="00941781" w:rsidRPr="00B00B87" w:rsidRDefault="00072EA1" w:rsidP="0087249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платы за подключение к централизованной системе водоснабжения и (или) водоотведения указывается в договоре о подключении и рассчитывается ОГКП «Ульяновский областной водоканал» по формуле 50 «Методических указаний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расчету регулируемых тарифов и в сфере водоснабжения и водоотведения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(приказ ФСТ России от 27.12.2013г. №1746-э) на основе двух ставок тарифов – ставки тарифа за подключаемую </w:t>
      </w:r>
      <w:r w:rsidR="0054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нагрузку сети и ставки тарифов за протяженность</w:t>
      </w:r>
      <w:proofErr w:type="gramEnd"/>
      <w:r w:rsidR="00031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с учетом подключаемой нагрузки абонента и протяженности создаваемой сети от точки подключения к сетям ОГКП «Ульяновский областной водоканал» до земельного участка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абонента.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действия технических условий составляет 3 года со дня заключения договора о подключении (технологическом присоединении).</w:t>
      </w:r>
    </w:p>
    <w:p w:rsidR="00F3554A" w:rsidRDefault="00F3554A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54A" w:rsidRDefault="00F3554A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81" w:rsidRPr="00B00B87" w:rsidRDefault="00B55DA0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ООО «Газпром газораспределение</w:t>
      </w:r>
      <w:r w:rsidR="008473BF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Ульяновск</w:t>
      </w:r>
      <w:r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8473BF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473BF" w:rsidRPr="00B00B87" w:rsidRDefault="008473BF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Техническая возможность подключения к газораспределительным сетям имеется от существующего </w:t>
      </w:r>
      <w:proofErr w:type="spellStart"/>
      <w:proofErr w:type="gramStart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существующего</w:t>
      </w:r>
      <w:proofErr w:type="spellEnd"/>
      <w:proofErr w:type="gramEnd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внутрипоселкого</w:t>
      </w:r>
      <w:proofErr w:type="spellEnd"/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подземного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газопровода высокого давления Р=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0,6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Мпа,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мм, проложенного на </w:t>
      </w:r>
      <w:proofErr w:type="spellStart"/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Ишеевка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условии выполнения гидр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авлического расчета газопровода. Предельная свободная мощность сетей для подключения составляет не более 1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 w:rsidRP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D3E5D" w:rsidRP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/час.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Плата за технологическое присоединение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рассчитана по приказу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Агентства по регулированию цен и тарифов Ульяновской области </w:t>
      </w:r>
      <w:r w:rsidR="0011159A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установлении стандартизированных тарифных ставок за технологическое присоединение…»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№»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398-П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Срок действия технических условий </w:t>
      </w:r>
      <w:r w:rsidR="00111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от 3 до 5 лет в зависимости от технических параметров подключения</w:t>
      </w:r>
      <w:r w:rsidR="00D6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</w:t>
      </w:r>
      <w:r w:rsidR="00FD3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26C3" w:rsidRPr="00B00B87" w:rsidRDefault="00340BA6" w:rsidP="00941781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АО «Ульяновская сетевая компания».</w:t>
      </w:r>
    </w:p>
    <w:p w:rsidR="00340BA6" w:rsidRPr="00340BA6" w:rsidRDefault="00340BA6" w:rsidP="0034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возможность для технологического присоединения  объекта к электрическим сетям АО «Ульяновская сетевая компания» имеется. Предельная свободная мощность существующих сетей составляет 15 кВт. Срок осуществления мероприятий по технологическому присоединению в зависимости от величины максимальной мощности присоединяемых </w:t>
      </w:r>
      <w:proofErr w:type="spell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от 4 месяцев до 2 лет, если иные сроки не предусмотрены инвестиционной программой сетевой организации или соглашением сторон. Срок действия технических условий не может составлять менее 2 лет и более 5 лет. </w:t>
      </w:r>
      <w:proofErr w:type="gram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технологическое присоединение к электрическим сетям АО «УСК» рассчитывается в соответствии с Приказом Министерства цифровой экономики и конкуренции Ульяновской области № 06-344 от 17.12.2019 г. «Об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Ульяновской области на 2020 год» исходя из параметров присоединяемого </w:t>
      </w:r>
      <w:proofErr w:type="spellStart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34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указанных в заявке. </w:t>
      </w:r>
      <w:proofErr w:type="gramEnd"/>
    </w:p>
    <w:p w:rsidR="00941781" w:rsidRPr="00B00B87" w:rsidRDefault="00340BA6" w:rsidP="00262EA8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24.07.2007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r w:rsidR="00F00D05">
        <w:rPr>
          <w:rFonts w:ascii="Times New Roman" w:hAnsi="Times New Roman" w:cs="Times New Roman"/>
          <w:sz w:val="24"/>
          <w:szCs w:val="24"/>
        </w:rPr>
        <w:t>Перечнем</w:t>
      </w:r>
      <w:r w:rsidR="00F00D05" w:rsidRPr="00F00D05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на территории муниципального образования «Ульяновский район» Ульяновской области, предоставляемого во владение и (или) в пользование субъектам малого и среднего предпринимательства, организациям, образующим 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F00D05" w:rsidRPr="00F00D05">
        <w:rPr>
          <w:rFonts w:ascii="Times New Roman" w:hAnsi="Times New Roman" w:cs="Times New Roman"/>
          <w:sz w:val="24"/>
          <w:szCs w:val="24"/>
        </w:rPr>
        <w:t xml:space="preserve"> применяющим специальный налоговый </w:t>
      </w:r>
      <w:r w:rsidR="00F00D05">
        <w:rPr>
          <w:rFonts w:ascii="Times New Roman" w:hAnsi="Times New Roman" w:cs="Times New Roman"/>
          <w:sz w:val="24"/>
          <w:szCs w:val="24"/>
        </w:rPr>
        <w:t xml:space="preserve">     </w:t>
      </w:r>
      <w:r w:rsidR="00F00D05" w:rsidRPr="00F00D05">
        <w:rPr>
          <w:rFonts w:ascii="Times New Roman" w:hAnsi="Times New Roman" w:cs="Times New Roman"/>
          <w:sz w:val="24"/>
          <w:szCs w:val="24"/>
        </w:rPr>
        <w:t xml:space="preserve">режим «Налог на профессиональный доход»,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утвержденный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 Администрации МО «Ульяновский район»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Аукцион по Лоту №1 проводится с ограниченным числом участников – только среди субъектов малого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среднего предпринимательства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право заключения договоров аренды земельных учас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тков и открытый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 форме подачи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о цене.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аукциона на право заключения договоров аренды 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земельных участков, включенных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</w:t>
      </w:r>
      <w:r w:rsidR="00C67509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оказываться поддержка в соответствии с частью 3 ст</w:t>
      </w:r>
      <w:r w:rsidR="00584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атьи 14 указанного Федерального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Прием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заявок на участие в аукционе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осуществляться 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03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</w:t>
      </w:r>
      <w:r w:rsidR="002F4918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41781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48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D6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F00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B67376" w:rsidRPr="00B67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5F4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рабочие дни </w:t>
      </w:r>
      <w:r w:rsidR="00941781" w:rsidRPr="00565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8.00 до 12.00 и с 13.00 до </w:t>
      </w:r>
      <w:r w:rsidR="002F4918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F4918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="00941781" w:rsidRPr="00B00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часов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 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Ульяновская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область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Ульяновский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Ишеевка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Новокомбинатовская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</w:t>
      </w:r>
      <w:r w:rsidR="002F4918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Одно лицо имеет право подать только одну заявку на предмет аукциона.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со дня поступления уведомления об отзыве заявки. В случае отзыва заявки заявителем позднее дня окончания срока приема заявок задаток возвра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щается </w:t>
      </w:r>
      <w:r w:rsidR="0026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порядке, установленном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участников аукциона.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адаток вносится единым платежом на </w:t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специальный </w:t>
      </w:r>
      <w:proofErr w:type="gramStart"/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</w:t>
      </w:r>
      <w:proofErr w:type="gramEnd"/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специализированный организации (МУ «КУМИЗО МО «Ульяновский район» Ульяновской области</w:t>
      </w:r>
      <w:r w:rsidR="00F13883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8388D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следующим реквизитам: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Отделение Ульяновск банка России УФК по Ульяновской области г. Ульяновск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БИК 017308101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Казначейский счет 03232643736520006800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Банковский счет </w:t>
      </w:r>
      <w:proofErr w:type="spellStart"/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ЕКСч</w:t>
      </w:r>
      <w:proofErr w:type="spellEnd"/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40102810645370000061</w:t>
      </w:r>
      <w:r w:rsidR="00F00D05" w:rsidRPr="00F00D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0D05" w:rsidRPr="00F00D05">
        <w:rPr>
          <w:rFonts w:ascii="Times New Roman" w:eastAsia="Times New Roman" w:hAnsi="Times New Roman"/>
          <w:b/>
          <w:sz w:val="24"/>
          <w:szCs w:val="24"/>
          <w:lang w:eastAsia="ru-RU"/>
        </w:rPr>
        <w:t>КБК 00000000000000000000</w:t>
      </w:r>
      <w:r w:rsidR="00F00D05" w:rsidRPr="00F00D05">
        <w:rPr>
          <w:rFonts w:ascii="Times New Roman" w:hAnsi="Times New Roman"/>
          <w:sz w:val="24"/>
          <w:szCs w:val="24"/>
        </w:rPr>
        <w:t>.</w:t>
      </w:r>
      <w:r w:rsidR="00947772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платежном документе  в графе «назначение платежа» должна содержаться ссылка на дату про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ведения аукциона и номер лота.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Внесенный победителем аукциона задаток засчитывается в с</w:t>
      </w:r>
      <w:r w:rsidR="00F00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 арендной платы за земельный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участок.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Организатор торгов в течение 3 банковских дней со дня подписания протокола о результатах аукциона возвращает задат</w:t>
      </w:r>
      <w:r w:rsidR="00947772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участникам аукциона, которые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выиграли его.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Земельного кодекса 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засчитываются в счет оплаты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Документы, представляемые претендентами для участия в аукционе: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1) заявка на участие в аукционе по установленной в извещении о проведен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копии документов, удостоверяющих личность заявителя (для граждан);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ностранное юридическое лицо;</w:t>
      </w:r>
      <w:r w:rsidR="00B67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внесение задатка.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подачи заявки представителем заявителя предъявляется доверенность.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Документы, представляемые для участия в аукционе в части их оформления и содержания должны соответствовать требованиям законодательства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Документы, содержащие помарки, подчистки, исправления и т.п. не принимаются.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договора аренды земельного участка. Один экземпляр протокола о результатах аукциона выдается Победителю или его полномочному представителю.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Договор аренды земельного участка заключается в установленный законодательством срок.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</w:t>
      </w:r>
      <w:proofErr w:type="gramStart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на официальном сайте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размещения информации о проведении торгов по адресу: http://www.torgi.gov.ru, и сайте http:/</w:t>
      </w:r>
      <w:proofErr w:type="spellStart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ulraion</w:t>
      </w:r>
      <w:proofErr w:type="spellEnd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B00B87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</w:t>
      </w:r>
      <w:proofErr w:type="spellEnd"/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вопросы, касающиеся проведения аукциона, не нашедшие отражения в настоящем информационном сообщении, регулируются законодательством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Настоящее сообщение является публичной офертой для заключения договора о задатке в соответствии со статьей 437 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Гражданского кодекса РФ</w:t>
      </w:r>
      <w:r w:rsidR="00941781" w:rsidRPr="00B00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C52EA" w:rsidRPr="00B00B87" w:rsidRDefault="00FC52EA" w:rsidP="009417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52EA" w:rsidRPr="00B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22"/>
    <w:rsid w:val="00031B43"/>
    <w:rsid w:val="000453E2"/>
    <w:rsid w:val="00072EA1"/>
    <w:rsid w:val="000903E9"/>
    <w:rsid w:val="000952C6"/>
    <w:rsid w:val="0011159A"/>
    <w:rsid w:val="00154A39"/>
    <w:rsid w:val="001F762D"/>
    <w:rsid w:val="00262EA8"/>
    <w:rsid w:val="0028388D"/>
    <w:rsid w:val="002F4918"/>
    <w:rsid w:val="003226C3"/>
    <w:rsid w:val="00340BA6"/>
    <w:rsid w:val="003C4E27"/>
    <w:rsid w:val="00455E74"/>
    <w:rsid w:val="004D4D85"/>
    <w:rsid w:val="0053427F"/>
    <w:rsid w:val="00546502"/>
    <w:rsid w:val="00565465"/>
    <w:rsid w:val="005848D9"/>
    <w:rsid w:val="005F42C9"/>
    <w:rsid w:val="0061172F"/>
    <w:rsid w:val="0080111C"/>
    <w:rsid w:val="00820478"/>
    <w:rsid w:val="008473BF"/>
    <w:rsid w:val="00864ED4"/>
    <w:rsid w:val="00872495"/>
    <w:rsid w:val="008748BA"/>
    <w:rsid w:val="008828C4"/>
    <w:rsid w:val="008C3B99"/>
    <w:rsid w:val="00941781"/>
    <w:rsid w:val="00947772"/>
    <w:rsid w:val="009B50FD"/>
    <w:rsid w:val="00B00B87"/>
    <w:rsid w:val="00B55DA0"/>
    <w:rsid w:val="00B67376"/>
    <w:rsid w:val="00BA2C22"/>
    <w:rsid w:val="00C67509"/>
    <w:rsid w:val="00D668D1"/>
    <w:rsid w:val="00E716CB"/>
    <w:rsid w:val="00E735F4"/>
    <w:rsid w:val="00E74F85"/>
    <w:rsid w:val="00EE3B86"/>
    <w:rsid w:val="00F00D05"/>
    <w:rsid w:val="00F13883"/>
    <w:rsid w:val="00F3554A"/>
    <w:rsid w:val="00FC52EA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администрация-ЖКХ</dc:creator>
  <cp:keywords/>
  <dc:description/>
  <cp:lastModifiedBy>администрация-ЖКХ</cp:lastModifiedBy>
  <cp:revision>13</cp:revision>
  <cp:lastPrinted>2022-03-22T06:33:00Z</cp:lastPrinted>
  <dcterms:created xsi:type="dcterms:W3CDTF">2020-03-11T10:30:00Z</dcterms:created>
  <dcterms:modified xsi:type="dcterms:W3CDTF">2022-03-22T09:31:00Z</dcterms:modified>
</cp:coreProperties>
</file>