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986" w:rsidRPr="00326986" w:rsidRDefault="00326986" w:rsidP="00326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9"/>
        <w:gridCol w:w="767"/>
        <w:gridCol w:w="2925"/>
        <w:gridCol w:w="1307"/>
        <w:gridCol w:w="1307"/>
      </w:tblGrid>
      <w:tr w:rsidR="00326986" w:rsidRPr="00326986" w:rsidTr="00326986">
        <w:trPr>
          <w:trHeight w:val="315"/>
          <w:tblCellSpacing w:w="0" w:type="dxa"/>
        </w:trPr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326986" w:rsidRPr="00326986" w:rsidTr="00326986">
        <w:trPr>
          <w:trHeight w:val="1335"/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АНАЛИЗ</w:t>
            </w:r>
            <w:r w:rsidRPr="003269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ЭФФЕКТИВНОСТИ РАБОТЫ ЭЛЕМЕНТОВ ОРГАНИЗАЦИОННОЙ СТРУКТУРЫ</w:t>
            </w:r>
            <w:r w:rsidRPr="003269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ПО ПРОТИВОДЕЙСТВИЮ КОРРУПЦИИ В МУНИЦИПАЛЬНЫХ ОБРАЗОВАНИЯХ</w:t>
            </w:r>
            <w:r w:rsidRPr="003269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УЛЬЯНОВСКОЙ ОБЛАСТИ</w:t>
            </w:r>
          </w:p>
        </w:tc>
      </w:tr>
      <w:tr w:rsidR="00326986" w:rsidRPr="00326986" w:rsidTr="00326986">
        <w:trPr>
          <w:trHeight w:val="795"/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МУНИЦИПАЛЬНОЕ ОБРАЗОВАНИЕ: «__________________________________район»</w:t>
            </w:r>
          </w:p>
        </w:tc>
      </w:tr>
      <w:tr w:rsidR="00326986" w:rsidRPr="00326986" w:rsidTr="00326986">
        <w:trPr>
          <w:trHeight w:val="300"/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ПЕРИОД МОНИТОРИНГА: ___________месяцев 202__________ года</w:t>
            </w:r>
          </w:p>
        </w:tc>
      </w:tr>
      <w:tr w:rsidR="00326986" w:rsidRPr="00326986" w:rsidTr="00326986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Отчётный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Отчётный период</w:t>
            </w: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года (с нарастающим итогом)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года (с нарастающим итогом)</w:t>
            </w:r>
          </w:p>
        </w:tc>
      </w:tr>
      <w:tr w:rsidR="00326986" w:rsidRPr="00326986" w:rsidTr="00326986">
        <w:trPr>
          <w:trHeight w:val="315"/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  <w:lang w:eastAsia="ru-RU"/>
              </w:rPr>
              <w:t>I. МЕЖВЕДОМСТВЕННАЯ КОМИССИЯ ПО ПРОТИВОДЕЙСТВИЮ КОРРУПЦИИ</w:t>
            </w: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1.Заседания Межведомственной 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1.  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Количество проведённых заседаний Межведомственной комиссии за отчётный период всего, 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rHeight w:val="244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с участием представителей прокуратуры, ОВД, СМИ, общественных представителей по противодействию коррупции в муниципальном образовании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rHeight w:val="244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2.Вопросы, рассматриваемые на заседаниях Межведомственной 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Общее количество, рассмотренных на заседаниях Межведомственной комиссии вопросов (за отчётный период), в том числе в сфере: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ЖКХ, строительства и 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здравоохранения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социального обеспечения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АПК и сельского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дорожного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3. Показатели результативности работы Межведомственной 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Количество зон повышенного коррупционного риска, выявленных по итогам заседания Межведомственной комиссии, отражённых в протоколе заседания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rHeight w:val="244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Количество сходов граждан, на которых обсуждались вопросы реализации государственной политики в области противодействия коррупции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rHeight w:val="244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rHeight w:val="244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Количество заседаний Межведомственной комиссии, на которых обсуждались вопросы, связанные с нецелевым, неэффективным, неправомерным и иными финансовыми нарушениями при использовании бюджетных средств и имущества по итогам материалов проверок органов внешнего и внутреннего финансового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rHeight w:val="244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rHeight w:val="630"/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II. АНТИКОРРУПЦИОННАЯ ЭКСПЕРТИЗА НОРМАТИВНЫХ ПРАВОВЫХ АКТОВ И ИХ ПРОЕКТОВ</w:t>
            </w: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Общее количество подготовленных проектов муниципальных правовых актов (включая муниципальные правовые акты городских и сельских поселений), 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проекты городских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проекты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Общее количество выявленных и устранённых </w:t>
            </w:r>
            <w:proofErr w:type="spellStart"/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 факторов в проектах муниципальных правовых актов (включая проекты муниципальных правовых актов городских и сельских поселений),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 проектах городских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 проектах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по предложениям: Государственно-правового управления администрации Губернатора Ульяновской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юридической службы органа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органов прокуратуры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Управления Министерства юстиции Российской Федерации по Ульяновской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независимых экспертов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широта дискреционных полномочий - отсутствие или неопределённость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определение компетенции по формуле «вправе» - диспозитивное установление </w:t>
            </w: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выборочное изменение объёма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rHeight w:val="244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правовой акт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rHeight w:val="244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9.6.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9.7.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9.8.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отказ от конкурсных (аукционных) процедур - закрепление административного </w:t>
            </w: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порядка предоставления права (блага)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9.9.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9.10.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9.11.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злоупотребление правом заявителя органами государственной власти или органами местного самоуправления (их должностными лицами) - отсутствие четкой регламентации прав граждан и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9.12.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юридико-лингвистическая неопределенность - употребление неустоявшихся, двусмысленных терминов и категорий оценочного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rHeight w:val="244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3. Иная деятельность ОМСУ по организации</w:t>
            </w:r>
            <w:r w:rsidRPr="0032698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антикоррупционной экспертизы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Общее количество действующих муниципальных правовых актов (включая муниципальные правовые акты городских и сельских поселений), в которые вносились изменения в связи с содержанием в них </w:t>
            </w:r>
            <w:proofErr w:type="spellStart"/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 факторов, всего в том числе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rHeight w:val="244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актов городских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актов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По предложениям: Государственно-правового управления администрации Губернатора Ульяновской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органов прокуратуры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Управления Министерства юстиции Российской Федерации по Ульяновской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11.04.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юридической службы органа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независимых экспертов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rHeight w:val="390"/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III. ИНФОРМАЦИОННОЕ ОСВЕЩЕНИЕ ПРОТИВОДЕЙСТВИЯ КОРРУПЦИИ</w:t>
            </w:r>
          </w:p>
        </w:tc>
      </w:tr>
      <w:tr w:rsidR="00326986" w:rsidRPr="00326986" w:rsidTr="00326986">
        <w:trPr>
          <w:trHeight w:val="17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Организационная основа информационного освещения противодействия коррупции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Количество публикаций антикоррупционной направленности, размещённых за отчётный период в печатных и электронных СМИ, на официальных сайтах администрации и подведомственных учреждений, в </w:t>
            </w:r>
            <w:proofErr w:type="spellStart"/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мессенжерах</w:t>
            </w:r>
            <w:proofErr w:type="spellEnd"/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, на теле-и радио-каналах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rHeight w:val="405"/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  <w:lang w:eastAsia="ru-RU"/>
              </w:rPr>
              <w:t>IV. АНТИКОРРУПЦИОННОЕ ПРОСВЕЩЕНИЕ</w:t>
            </w: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Количество муниципальных служащих, прошедших за отчётный период обучение по антикоррупционной 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Количество проведённых мероприятий правовой и антикоррупционной направленности 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Количество проведённых мероприятий в подведомственных 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Количество проведённых мероприятий с участием общественных объединений и организаций (НКО)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Количество наиболее активно взаимодействующих с ОМСУ общественных объединений и организаций (НКО) в сфере противодействия коррупции, в том числе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 скольких из них уставными задачами является участие в противодействии коррупции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rHeight w:val="244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Подготовлено памяток, методических пособий по антикоррупционной тематике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rHeight w:val="244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rHeight w:val="405"/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  <w:lang w:eastAsia="ru-RU"/>
              </w:rPr>
              <w:t>V. КОМИССИЯ ПО УРЕГУЛИРОВАНИЮ КОНФЛИКТА ИНТЕРЕСОВ</w:t>
            </w:r>
          </w:p>
        </w:tc>
      </w:tr>
      <w:tr w:rsidR="00326986" w:rsidRPr="00326986" w:rsidTr="00326986">
        <w:trPr>
          <w:trHeight w:val="8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1. Общие количественные 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Количество проведённых заседаний комиссии по урегулированию конфликта интересов в ОМСУ за отчётный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2. Специфика рассмотренных вопросов (материалов)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Количество рассмотренных на комиссии по урегулированию конфликта интересов материалов (обращений), касающихся представления служащими недостоверных или неполных сведений о доходах, об имуществе и обязательствах имущественного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Количество рассмотренных на комиссии по урегулированию </w:t>
            </w: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конфликта интересов материалов (обращений), касающихся несоблюдения служащими требований об урегулировании конфликта интересов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Количество рассмотренных на комиссии по урегулированию конфликта интересов и материалов (обращений), касающихся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Количество рассмотренных на комиссии по урегулированию конфликта интересов материалов (обращений), касающихся 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Количество рассмотренных на заседаниях комиссии по урегулированию конфликта интересов вопросов, касающихся рассмотрения результатов, полученных в ходе осуществления контроля за расходами муниципальных служащих (иных лиц)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3. Результаты работы 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Количество установленных комиссией по урегулированию конфликта интересов нарушений, касающихся соблюдения требований 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Количество установленных комиссией по урегулированию конфликта интересов нарушений, касающихся соблюдения требований об урегулировании конфликта интересов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Количество установленных комиссией по урегулированию конфликта интересов нарушений, касающихся соблюдения требований об объективности и уважительности причин непредставления сведений о доходах супруги (супруга) и несовершеннолетних детей служащего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Количество установленных комиссией по урегулированию </w:t>
            </w: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конфликта интересов нарушений, касающихся рассмотрения результатов, полученных в ходе осуществления контроля за расходами муниципальных служащих (иных лиц)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Количество отказов в замещении должности либо в выполнении работы на условиях гражданско-правового договора после увольнения со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Количество служащих, отстранённых в результате заседания комиссии по урегулированию конфликта интересов от исполнения ими своих обязанностей в связи с наличием конфликта интересов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Количество служащих, привлеченных к дисциплинарной ответственности по результатам заседаний комиссий по урегулированию конфликта интересов за нарушения, не связанные с утратой доверия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Количество служащих, привлеченных к дисциплинарной ответственности по результатам заседаний комиссии по урегулированию конфликта интересов за нарушения в связи с утратой доверия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rHeight w:val="750"/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  <w:lang w:eastAsia="ru-RU"/>
              </w:rPr>
              <w:t>VI. ЭФФЕКТИВНОСТЬ АНТИКОРРУПЦИОННОЙ РАБОТЫ В МУНИЦИПАЛЬНЫХ ОБЩЕОБРАЗОВАТЕЛЬНЫХ ОРГАНИЗАЦИЯХ</w:t>
            </w:r>
          </w:p>
        </w:tc>
      </w:tr>
      <w:tr w:rsidR="00326986" w:rsidRPr="00326986" w:rsidTr="00326986">
        <w:trPr>
          <w:trHeight w:val="7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1. Количественные 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Общее количество муниципальных общеобразовательных организаций (школ)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2. Количество проведенных в общеобразовательных организациях за отчетный период мероприятий с элементами </w:t>
            </w:r>
            <w:proofErr w:type="spellStart"/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антикоррупцонного</w:t>
            </w:r>
            <w:proofErr w:type="spellEnd"/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 воспитания, при наличии подтверждающих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Количество проведенных мероприятий антикоррупционной тематики, информация о которых размещена в СМИ или на официальных сайтах школ, сайтах муниципальных органов управления образованием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Количество проведенных централизованно (сразу во всех школах района) конкурсов детского творчества антикоррупционной 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rHeight w:val="750"/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  <w:lang w:eastAsia="ru-RU"/>
              </w:rPr>
              <w:t>VII. АНАЛИЗ ОБРАЩЕНИЙ В ОРГАНЫ МЕСТНОГО САМОУПРАВЛЕНИЯ ПО ФАКТАМ КОРРУПЦИИ</w:t>
            </w: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1. Количественные показатели поступивших обращений по возможным фактам коррупции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Общее количество поступивших во все органы местного самоуправления муниципального образования (включая обращения, поступившие в сельские и городские поселения муниципальных районов) обращений граждан и организаций (включая анонимные) по всем вопросам за отчётный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Количество поступивших во все органы местного самоуправления муниципального образования (включая обращения, поступившие в сельские и городские поселения муниципальных районов) обращений граждан и организаций (включая анонимные) по возможным фактам коррупции 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35.1.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от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35.2.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от правоохранительных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35.3.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от контрольно-надзорных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2. Тематическая направленность поступивших/рассмотренных обращений по фактам коррупции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36.1.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Количество обращений о проявлениях коррупции в сфере здравоохранения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36.2.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Количество обращений о проявлениях коррупции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36.3.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Количество обращений о проявлениях коррупции в сфере ЖКХ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36.4.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Количество обращений о проявлениях коррупции в сфере социального обеспечения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36.5.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Количество обращений о проявлениях коррупции в сфере АПК и сельского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36.6.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Количество обращений о проявлениях коррупции в сфере 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36.7.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Количество обращений о проявлениях коррупции при оказании государственных и муниципальных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36.8.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Количество обращений о фактах взяточничества с участием сотрудников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36.9.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Количество обращений о фактах взяточничества среди работников подведомственных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3. Оценка результатов рассмотрения обращений граждан и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Количество обращений граждан и организаций (включая анонимные) по возможным фактам коррупции, нашедшим своё подтверждение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Количество представлений органов прокуратуры, поступивших в органы местного самоуправления муниципального района (включая поступившие в сельские и городские поселения муниципального района) или городского округа, в которых обращается внимание на неудовлетворительную работу с обращениями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Количество зон повышенного коррупционного риска, выявленных по результатам рассмотрения поступивших в течение отчётного периода обращений граждан и организаций по возможным фактам коррупции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rHeight w:val="1440"/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  <w:lang w:eastAsia="ru-RU"/>
              </w:rPr>
              <w:t>VIII. РЕАЛИЗАЦИЯ ПРИНЦИПА НЕОТВРАТИМОСТИ ОТВЕТСТВЕННОСТИ ЗА НЕЦЕЛЕВОЕ, НЕЭФФЕКТИВНОЕ, НЕПРАВОМЕРНОЕ ИСПОЛЬЗОВАНИЕ БЮДЖЕТНЫХ СРЕДСТВ И ИМУЩЕСТВА, ИНЫЕ ФИНАНСОВЫЕ НАРУШЕНИЯ, ВЫЯВЛЕННЫЕ В ХОДЕ ПРОВЕДЕНИЯ ПРОВЕРОК ОРГАНАМИ ВНЕШНЕГО И ВНУТРЕННЕГО ФИНАНСОВОГО КОНТРОЛЯ</w:t>
            </w: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1. Количественные показатели реализации принципа неотвратимости наказания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Общее количество проверок, проведённых за отчётный период органами внутреннего и внешнего государственного финансового контроля в отношении ОМСУ и подведомственных ему государственных учреждений,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40.1.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Управлением федерального казначейства по Ульяновской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40.2.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Счётной палатой Ульяновской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40.3.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контрольным управлением администрации Губернатора Ульяновской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40.4.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контрольно-счётной комиссией Совета депутатов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40.5.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финансовым органом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rHeight w:val="15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Количество актов проверок, проведённых контрольно-счётной комиссией Совета депутатов муниципального образования и финансового органа муниципального </w:t>
            </w: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образования, и переданных в правоохранительные органы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2. Результативность работы по реализации принципа неотвратимости наказания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Привлечено должностных лиц ОМСУ (работников подведомственных учреждений) к дисциплинарной ответственности (при наличии подтверждающих документов), в </w:t>
            </w:r>
            <w:proofErr w:type="spellStart"/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42.1.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замечание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42.2.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выговор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42.3.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предупреждение о неполном должностном соответствии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42.4.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освобождение от замещаемой должности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42.5.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увольнение в связи с утратой доверия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Привлечено должностных лиц (работников подведомственных учреждений) к материальной ответственности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Привлечено должностных лиц (работников подведомственных учреждений) к административной ответственности, в </w:t>
            </w:r>
            <w:proofErr w:type="spellStart"/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44.1.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44.2.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дисквалификация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rHeight w:val="1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rHeight w:val="3660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26986" w:rsidRPr="00326986" w:rsidRDefault="00326986" w:rsidP="00326986">
            <w:pPr>
              <w:spacing w:after="24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Примечание: В дополнение к мониторингу необходимо приложить справки:</w:t>
            </w:r>
            <w:r w:rsidRPr="003269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1. (раздел «Реализация принципа неотвратимости наказания за нецелевое, неэффективное, неправомерное использование бюджетных средств и имущества, иные финансовые нарушения, выявленные в ходе проведения проверок органами внешнего и внутреннего финансового контроля») с указанием занимаемых должностей лиц, привлечённых к видам ответственности.</w:t>
            </w:r>
            <w:r w:rsidRPr="003269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2. (разделы «Межведомственная комиссия по профилактике коррупции» и «Информационное освещение противодействия коррупции»)</w:t>
            </w:r>
            <w:r w:rsidRPr="003269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- для печатных СМИ с указанием наименования печатного издания, даты и номера издания, наименование публикации;</w:t>
            </w:r>
            <w:r w:rsidRPr="003269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- для электронных СМИ наименование сайта и публикации.</w:t>
            </w:r>
          </w:p>
        </w:tc>
      </w:tr>
    </w:tbl>
    <w:p w:rsidR="00326986" w:rsidRPr="00326986" w:rsidRDefault="00326986" w:rsidP="00326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8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326986" w:rsidRPr="00326986" w:rsidRDefault="00326986" w:rsidP="003269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table1"/>
      <w:proofErr w:type="spellStart"/>
      <w:r w:rsidRPr="003269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Sheet</w:t>
      </w:r>
      <w:proofErr w:type="spellEnd"/>
      <w:r w:rsidRPr="003269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2: </w:t>
      </w:r>
      <w:r w:rsidRPr="00326986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>Отчет о совместимости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1"/>
        <w:gridCol w:w="36"/>
        <w:gridCol w:w="36"/>
        <w:gridCol w:w="36"/>
        <w:gridCol w:w="36"/>
      </w:tblGrid>
      <w:tr w:rsidR="00326986" w:rsidRPr="00326986" w:rsidTr="00326986">
        <w:trPr>
          <w:trHeight w:val="300"/>
          <w:tblCellSpacing w:w="0" w:type="dxa"/>
        </w:trPr>
        <w:tc>
          <w:tcPr>
            <w:tcW w:w="0" w:type="auto"/>
            <w:hideMark/>
          </w:tcPr>
          <w:bookmarkEnd w:id="0"/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Отчет о совместимости для АНАЛИЗ ОМСУ 2021 свод.xls</w:t>
            </w:r>
          </w:p>
        </w:tc>
        <w:tc>
          <w:tcPr>
            <w:tcW w:w="0" w:type="auto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rHeight w:val="300"/>
          <w:tblCellSpacing w:w="0" w:type="dxa"/>
        </w:trPr>
        <w:tc>
          <w:tcPr>
            <w:tcW w:w="0" w:type="auto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269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Дата отчета: 15.01.2021 16:52</w:t>
            </w:r>
          </w:p>
        </w:tc>
        <w:tc>
          <w:tcPr>
            <w:tcW w:w="0" w:type="auto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rHeight w:val="300"/>
          <w:tblCellSpacing w:w="0" w:type="dxa"/>
        </w:trPr>
        <w:tc>
          <w:tcPr>
            <w:tcW w:w="0" w:type="auto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6986" w:rsidRPr="00326986" w:rsidRDefault="00326986" w:rsidP="0032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26986" w:rsidRPr="00326986" w:rsidTr="00326986">
        <w:trPr>
          <w:trHeight w:val="1200"/>
          <w:tblCellSpacing w:w="0" w:type="dxa"/>
        </w:trPr>
        <w:tc>
          <w:tcPr>
            <w:tcW w:w="0" w:type="auto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69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Некоторые свойства данной книги не поддерживаются более ранними версиями </w:t>
            </w:r>
            <w:proofErr w:type="spellStart"/>
            <w:r w:rsidRPr="003269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Excel</w:t>
            </w:r>
            <w:proofErr w:type="spellEnd"/>
            <w:r w:rsidRPr="003269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Открытие книги в более ранней версии </w:t>
            </w:r>
            <w:proofErr w:type="spellStart"/>
            <w:r w:rsidRPr="003269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Excel</w:t>
            </w:r>
            <w:proofErr w:type="spellEnd"/>
            <w:r w:rsidRPr="003269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или ее сохранение в формате более ранней версии приведет к потере или ограничению функциональности этих свойств.</w:t>
            </w:r>
          </w:p>
        </w:tc>
        <w:tc>
          <w:tcPr>
            <w:tcW w:w="0" w:type="auto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9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986" w:rsidRPr="00326986" w:rsidRDefault="00326986" w:rsidP="0032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2559" w:rsidRDefault="00852559">
      <w:bookmarkStart w:id="1" w:name="_GoBack"/>
      <w:bookmarkEnd w:id="1"/>
    </w:p>
    <w:sectPr w:rsidR="00852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12"/>
    <w:rsid w:val="00326986"/>
    <w:rsid w:val="00532312"/>
    <w:rsid w:val="0085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B9CED-7BAC-4D35-B78D-483CEA81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8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2421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2024-03-20T06:33:00Z</dcterms:created>
  <dcterms:modified xsi:type="dcterms:W3CDTF">2024-03-20T06:33:00Z</dcterms:modified>
</cp:coreProperties>
</file>